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226914AC" w14:textId="77777777" w:rsidR="00D05EAE"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B5145D">
        <w:rPr>
          <w:color w:val="000000" w:themeColor="text1"/>
          <w:sz w:val="20"/>
          <w:szCs w:val="22"/>
          <w:lang w:val="en-US"/>
        </w:rPr>
        <w:t>University of Economics in Bratislava</w:t>
      </w:r>
      <w:r w:rsidR="00AB0B4F" w:rsidRPr="00B5145D">
        <w:rPr>
          <w:color w:val="000000" w:themeColor="text1"/>
          <w:sz w:val="20"/>
          <w:szCs w:val="22"/>
          <w:lang w:val="en-US"/>
        </w:rPr>
        <w:t xml:space="preserve">, </w:t>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w:t>
      </w:r>
    </w:p>
    <w:p w14:paraId="344AD33E" w14:textId="70785FEA" w:rsidR="00236954" w:rsidRPr="00B5145D" w:rsidRDefault="00AB0B4F" w:rsidP="00DB6C91">
      <w:pPr>
        <w:spacing w:line="240" w:lineRule="auto"/>
        <w:jc w:val="center"/>
        <w:rPr>
          <w:color w:val="000000" w:themeColor="text1"/>
          <w:sz w:val="20"/>
          <w:szCs w:val="22"/>
          <w:lang w:val="en-US"/>
        </w:rPr>
      </w:pPr>
      <w:r w:rsidRPr="00B5145D">
        <w:rPr>
          <w:color w:val="000000" w:themeColor="text1"/>
          <w:sz w:val="20"/>
          <w:szCs w:val="22"/>
          <w:lang w:val="en-US"/>
        </w:rPr>
        <w:t xml:space="preserve">85235 Bratislava, </w:t>
      </w:r>
      <w:r w:rsidR="00B5145D">
        <w:rPr>
          <w:color w:val="000000" w:themeColor="text1"/>
          <w:sz w:val="20"/>
          <w:szCs w:val="22"/>
          <w:lang w:val="en-US"/>
        </w:rPr>
        <w:t>Slovak Republic</w:t>
      </w:r>
      <w:r w:rsidRPr="00B5145D">
        <w:rPr>
          <w:color w:val="000000" w:themeColor="text1"/>
          <w:sz w:val="20"/>
          <w:szCs w:val="22"/>
          <w:lang w:val="en-US"/>
        </w:rPr>
        <w:t xml:space="preserve">, e-mail: </w:t>
      </w:r>
      <w:r w:rsidR="00A4053A" w:rsidRPr="00DA56E1">
        <w:rPr>
          <w:sz w:val="20"/>
          <w:szCs w:val="22"/>
          <w:lang w:val="en-US"/>
        </w:rPr>
        <w:t>john.economist@euba.sk</w:t>
      </w:r>
      <w:r w:rsidRPr="00B5145D">
        <w:rPr>
          <w:color w:val="000000" w:themeColor="text1"/>
          <w:sz w:val="20"/>
          <w:szCs w:val="22"/>
          <w:lang w:val="en-US"/>
        </w:rPr>
        <w:t xml:space="preserve">. </w:t>
      </w:r>
    </w:p>
    <w:p w14:paraId="3596B350" w14:textId="77777777" w:rsidR="00236954"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8"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6801576E"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DA56E1">
        <w:rPr>
          <w:color w:val="FF0000"/>
          <w:szCs w:val="22"/>
          <w:lang w:val="en-US"/>
        </w:rPr>
        <w:t>5</w:t>
      </w:r>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Default="00DA56E1" w:rsidP="00B1493A">
      <w:pPr>
        <w:spacing w:line="240" w:lineRule="auto"/>
        <w:ind w:firstLine="708"/>
        <w:rPr>
          <w:color w:val="000000" w:themeColor="text1"/>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9" w:history="1">
        <w:r w:rsidR="00B1493A" w:rsidRPr="0092633A">
          <w:rPr>
            <w:rStyle w:val="Hypertextovprepojenie"/>
            <w:szCs w:val="22"/>
            <w:lang w:val="en-US"/>
          </w:rPr>
          <w:t>https://apastyle.apa.org/style-grammar-guidelines</w:t>
        </w:r>
      </w:hyperlink>
      <w:r w:rsidR="00B1493A">
        <w:rPr>
          <w:color w:val="000000" w:themeColor="text1"/>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2B48CF72" w:rsidR="000379AA" w:rsidRDefault="000379AA" w:rsidP="000379AA">
      <w:pPr>
        <w:pStyle w:val="Odsekzoznamu"/>
        <w:spacing w:line="240" w:lineRule="auto"/>
        <w:ind w:hanging="720"/>
        <w:rPr>
          <w:rFonts w:ascii="Times New Roman" w:hAnsi="Times New Roman"/>
          <w:bCs/>
          <w:sz w:val="24"/>
          <w:szCs w:val="24"/>
        </w:rPr>
      </w:pPr>
    </w:p>
    <w:p w14:paraId="234B19CA" w14:textId="77777777" w:rsidR="00987AE6" w:rsidRDefault="00987AE6" w:rsidP="000379AA">
      <w:pPr>
        <w:pStyle w:val="Odsekzoznamu"/>
        <w:spacing w:line="240" w:lineRule="auto"/>
        <w:ind w:hanging="720"/>
        <w:rPr>
          <w:rFonts w:ascii="Times New Roman" w:hAnsi="Times New Roman"/>
          <w:bCs/>
          <w:sz w:val="24"/>
          <w:szCs w:val="24"/>
        </w:rPr>
      </w:pPr>
      <w:bookmarkStart w:id="0" w:name="_GoBack"/>
      <w:bookmarkEnd w:id="0"/>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69FB0EC1"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8(3), 207–217. https://doi.org/10.1037/ppm0000185</w:t>
      </w:r>
    </w:p>
    <w:p w14:paraId="20C1027D" w14:textId="09DFCE53"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Jerrentrup</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Mueller</w:t>
      </w:r>
      <w:proofErr w:type="spellEnd"/>
      <w:r w:rsidRPr="000379AA">
        <w:rPr>
          <w:rFonts w:ascii="Times New Roman" w:hAnsi="Times New Roman"/>
          <w:bCs/>
          <w:sz w:val="24"/>
          <w:szCs w:val="24"/>
        </w:rPr>
        <w:t xml:space="preserve">, T., </w:t>
      </w:r>
      <w:proofErr w:type="spellStart"/>
      <w:r w:rsidRPr="000379AA">
        <w:rPr>
          <w:rFonts w:ascii="Times New Roman" w:hAnsi="Times New Roman"/>
          <w:bCs/>
          <w:sz w:val="24"/>
          <w:szCs w:val="24"/>
        </w:rPr>
        <w:t>Glowalla</w:t>
      </w:r>
      <w:proofErr w:type="spellEnd"/>
      <w:r w:rsidRPr="000379AA">
        <w:rPr>
          <w:rFonts w:ascii="Times New Roman" w:hAnsi="Times New Roman"/>
          <w:bCs/>
          <w:sz w:val="24"/>
          <w:szCs w:val="24"/>
        </w:rPr>
        <w:t xml:space="preserve">, U., </w:t>
      </w:r>
      <w:proofErr w:type="spellStart"/>
      <w:r w:rsidRPr="000379AA">
        <w:rPr>
          <w:rFonts w:ascii="Times New Roman" w:hAnsi="Times New Roman"/>
          <w:bCs/>
          <w:sz w:val="24"/>
          <w:szCs w:val="24"/>
        </w:rPr>
        <w:t>Herder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Henrichs</w:t>
      </w:r>
      <w:proofErr w:type="spellEnd"/>
      <w:r w:rsidRPr="000379AA">
        <w:rPr>
          <w:rFonts w:ascii="Times New Roman" w:hAnsi="Times New Roman"/>
          <w:bCs/>
          <w:sz w:val="24"/>
          <w:szCs w:val="24"/>
        </w:rPr>
        <w:t xml:space="preserve">, N., </w:t>
      </w:r>
      <w:proofErr w:type="spellStart"/>
      <w:r w:rsidRPr="000379AA">
        <w:rPr>
          <w:rFonts w:ascii="Times New Roman" w:hAnsi="Times New Roman"/>
          <w:bCs/>
          <w:sz w:val="24"/>
          <w:szCs w:val="24"/>
        </w:rPr>
        <w:t>Neubauer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Schaefer</w:t>
      </w:r>
      <w:proofErr w:type="spellEnd"/>
      <w:r w:rsidRPr="000379AA">
        <w:rPr>
          <w:rFonts w:ascii="Times New Roman" w:hAnsi="Times New Roman"/>
          <w:bCs/>
          <w:sz w:val="24"/>
          <w:szCs w:val="24"/>
        </w:rPr>
        <w:t xml:space="preserve">, J. R. (2018). </w:t>
      </w:r>
      <w:proofErr w:type="spellStart"/>
      <w:r w:rsidRPr="000379AA">
        <w:rPr>
          <w:rFonts w:ascii="Times New Roman" w:hAnsi="Times New Roman"/>
          <w:bCs/>
          <w:sz w:val="24"/>
          <w:szCs w:val="24"/>
        </w:rPr>
        <w:t>Teaching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medicine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with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help</w:t>
      </w:r>
      <w:proofErr w:type="spellEnd"/>
      <w:r w:rsidRPr="000379AA">
        <w:rPr>
          <w:rFonts w:ascii="Times New Roman" w:hAnsi="Times New Roman"/>
          <w:bCs/>
          <w:sz w:val="24"/>
          <w:szCs w:val="24"/>
        </w:rPr>
        <w:t xml:space="preserve"> of “Dr. </w:t>
      </w:r>
      <w:proofErr w:type="spellStart"/>
      <w:r w:rsidRPr="000379AA">
        <w:rPr>
          <w:rFonts w:ascii="Times New Roman" w:hAnsi="Times New Roman"/>
          <w:bCs/>
          <w:sz w:val="24"/>
          <w:szCs w:val="24"/>
        </w:rPr>
        <w:t>House</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PLoS</w:t>
      </w:r>
      <w:proofErr w:type="spellEnd"/>
      <w:r w:rsidRPr="000379AA">
        <w:rPr>
          <w:rFonts w:ascii="Times New Roman" w:hAnsi="Times New Roman"/>
          <w:bCs/>
          <w:i/>
          <w:iCs/>
          <w:sz w:val="24"/>
          <w:szCs w:val="24"/>
        </w:rPr>
        <w:t xml:space="preserve"> ONE</w:t>
      </w:r>
      <w:r w:rsidRPr="000379AA">
        <w:rPr>
          <w:rFonts w:ascii="Times New Roman" w:hAnsi="Times New Roman"/>
          <w:bCs/>
          <w:sz w:val="24"/>
          <w:szCs w:val="24"/>
        </w:rPr>
        <w:t xml:space="preserve">, 13(3), </w:t>
      </w:r>
      <w:proofErr w:type="spellStart"/>
      <w:r w:rsidRPr="000379AA">
        <w:rPr>
          <w:rFonts w:ascii="Times New Roman" w:hAnsi="Times New Roman"/>
          <w:bCs/>
          <w:sz w:val="24"/>
          <w:szCs w:val="24"/>
        </w:rPr>
        <w:t>Article</w:t>
      </w:r>
      <w:proofErr w:type="spellEnd"/>
      <w:r w:rsidRPr="000379AA">
        <w:rPr>
          <w:rFonts w:ascii="Times New Roman" w:hAnsi="Times New Roman"/>
          <w:bCs/>
          <w:sz w:val="24"/>
          <w:szCs w:val="24"/>
        </w:rPr>
        <w:t xml:space="preserve"> e0193972. https://doi.org/10.1371/journal.pone.0193972</w:t>
      </w:r>
    </w:p>
    <w:p w14:paraId="27893999" w14:textId="231C25B8"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Sanchiz</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Chevalier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Amadieu</w:t>
      </w:r>
      <w:proofErr w:type="spellEnd"/>
      <w:r w:rsidRPr="000379AA">
        <w:rPr>
          <w:rFonts w:ascii="Times New Roman" w:hAnsi="Times New Roman"/>
          <w:bCs/>
          <w:sz w:val="24"/>
          <w:szCs w:val="24"/>
        </w:rPr>
        <w:t xml:space="preserve">, F. (2017). </w:t>
      </w:r>
      <w:proofErr w:type="spellStart"/>
      <w:r w:rsidRPr="000379AA">
        <w:rPr>
          <w:rFonts w:ascii="Times New Roman" w:hAnsi="Times New Roman"/>
          <w:bCs/>
          <w:sz w:val="24"/>
          <w:szCs w:val="24"/>
        </w:rPr>
        <w:t>How</w:t>
      </w:r>
      <w:proofErr w:type="spellEnd"/>
      <w:r w:rsidRPr="000379AA">
        <w:rPr>
          <w:rFonts w:ascii="Times New Roman" w:hAnsi="Times New Roman"/>
          <w:bCs/>
          <w:sz w:val="24"/>
          <w:szCs w:val="24"/>
        </w:rPr>
        <w:t xml:space="preserve"> do </w:t>
      </w:r>
      <w:proofErr w:type="spellStart"/>
      <w:r w:rsidRPr="000379AA">
        <w:rPr>
          <w:rFonts w:ascii="Times New Roman" w:hAnsi="Times New Roman"/>
          <w:bCs/>
          <w:sz w:val="24"/>
          <w:szCs w:val="24"/>
        </w:rPr>
        <w:t>older</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young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adults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start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for</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Impact</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age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domain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knowledge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problem</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complexity</w:t>
      </w:r>
      <w:proofErr w:type="spellEnd"/>
      <w:r w:rsidRPr="000379AA">
        <w:rPr>
          <w:rFonts w:ascii="Times New Roman" w:hAnsi="Times New Roman"/>
          <w:bCs/>
          <w:sz w:val="24"/>
          <w:szCs w:val="24"/>
        </w:rPr>
        <w:t xml:space="preserve"> on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different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steps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Computers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Human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Behavior</w:t>
      </w:r>
      <w:proofErr w:type="spellEnd"/>
      <w:r w:rsidRPr="000379AA">
        <w:rPr>
          <w:rFonts w:ascii="Times New Roman" w:hAnsi="Times New Roman"/>
          <w:bCs/>
          <w:sz w:val="24"/>
          <w:szCs w:val="24"/>
        </w:rPr>
        <w:t>, 72, 67–78. https://doi.org/10.1016/j.chb.2017.02.038</w:t>
      </w:r>
    </w:p>
    <w:p w14:paraId="54606F6B" w14:textId="5F2B81B7" w:rsidR="00E770B2"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Butler</w:t>
      </w:r>
      <w:proofErr w:type="spellEnd"/>
      <w:r w:rsidRPr="000379AA">
        <w:rPr>
          <w:rFonts w:ascii="Times New Roman" w:hAnsi="Times New Roman"/>
          <w:bCs/>
          <w:sz w:val="24"/>
          <w:szCs w:val="24"/>
        </w:rPr>
        <w:t xml:space="preserve">, J. (2017). </w:t>
      </w:r>
      <w:proofErr w:type="spellStart"/>
      <w:r w:rsidRPr="000379AA">
        <w:rPr>
          <w:rFonts w:ascii="Times New Roman" w:hAnsi="Times New Roman"/>
          <w:bCs/>
          <w:sz w:val="24"/>
          <w:szCs w:val="24"/>
        </w:rPr>
        <w:t>Where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meets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multimodality</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case</w:t>
      </w:r>
      <w:proofErr w:type="spellEnd"/>
      <w:r w:rsidRPr="000379AA">
        <w:rPr>
          <w:rFonts w:ascii="Times New Roman" w:hAnsi="Times New Roman"/>
          <w:bCs/>
          <w:sz w:val="24"/>
          <w:szCs w:val="24"/>
        </w:rPr>
        <w:t xml:space="preserve"> of ASL </w:t>
      </w:r>
      <w:proofErr w:type="spellStart"/>
      <w:r w:rsidRPr="000379AA">
        <w:rPr>
          <w:rFonts w:ascii="Times New Roman" w:hAnsi="Times New Roman"/>
          <w:bCs/>
          <w:sz w:val="24"/>
          <w:szCs w:val="24"/>
        </w:rPr>
        <w:t>music</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videos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Kairos</w:t>
      </w:r>
      <w:proofErr w:type="spellEnd"/>
      <w:r w:rsidRPr="000379AA">
        <w:rPr>
          <w:rFonts w:ascii="Times New Roman" w:hAnsi="Times New Roman"/>
          <w:bCs/>
          <w:i/>
          <w:iCs/>
          <w:sz w:val="24"/>
          <w:szCs w:val="24"/>
        </w:rPr>
        <w:t xml:space="preserve">: A </w:t>
      </w:r>
      <w:proofErr w:type="spellStart"/>
      <w:r w:rsidRPr="000379AA">
        <w:rPr>
          <w:rFonts w:ascii="Times New Roman" w:hAnsi="Times New Roman"/>
          <w:bCs/>
          <w:i/>
          <w:iCs/>
          <w:sz w:val="24"/>
          <w:szCs w:val="24"/>
        </w:rPr>
        <w:t>Journal</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Rhetoric</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Technology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Pedagogy</w:t>
      </w:r>
      <w:proofErr w:type="spellEnd"/>
      <w:r w:rsidRPr="000379AA">
        <w:rPr>
          <w:rFonts w:ascii="Times New Roman" w:hAnsi="Times New Roman"/>
          <w:bCs/>
          <w:sz w:val="24"/>
          <w:szCs w:val="24"/>
        </w:rPr>
        <w:t>, 21(1). http://technorhetoric.net/21.1/topoi/butler/index.html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77777777"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https://www.nimh.nih.gov/health/topics/anxiety-disorders/index.shtml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62A81410"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Butler</w:t>
      </w:r>
      <w:proofErr w:type="spellEnd"/>
      <w:r w:rsidRPr="00216D6E">
        <w:rPr>
          <w:rFonts w:ascii="Times New Roman" w:hAnsi="Times New Roman"/>
          <w:color w:val="000000"/>
          <w:sz w:val="24"/>
          <w:szCs w:val="24"/>
        </w:rPr>
        <w:t xml:space="preserve">, J. (2017). </w:t>
      </w:r>
      <w:proofErr w:type="spellStart"/>
      <w:r w:rsidRPr="00216D6E">
        <w:rPr>
          <w:rFonts w:ascii="Times New Roman" w:hAnsi="Times New Roman"/>
          <w:color w:val="000000"/>
          <w:sz w:val="24"/>
          <w:szCs w:val="24"/>
        </w:rPr>
        <w:t>Where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meets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multimodality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case</w:t>
      </w:r>
      <w:proofErr w:type="spellEnd"/>
      <w:r w:rsidRPr="00216D6E">
        <w:rPr>
          <w:rFonts w:ascii="Times New Roman" w:hAnsi="Times New Roman"/>
          <w:color w:val="000000"/>
          <w:sz w:val="24"/>
          <w:szCs w:val="24"/>
        </w:rPr>
        <w:t xml:space="preserve"> of ASL </w:t>
      </w:r>
      <w:proofErr w:type="spellStart"/>
      <w:r w:rsidRPr="00216D6E">
        <w:rPr>
          <w:rFonts w:ascii="Times New Roman" w:hAnsi="Times New Roman"/>
          <w:color w:val="000000"/>
          <w:sz w:val="24"/>
          <w:szCs w:val="24"/>
        </w:rPr>
        <w:t>music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videos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Kairos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Journal</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Rhetoric</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Technology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Pedagogy</w:t>
      </w:r>
      <w:proofErr w:type="spellEnd"/>
      <w:r w:rsidRPr="00216D6E">
        <w:rPr>
          <w:rFonts w:ascii="Times New Roman" w:hAnsi="Times New Roman"/>
          <w:color w:val="000000"/>
          <w:sz w:val="24"/>
          <w:szCs w:val="24"/>
        </w:rPr>
        <w:t>, 21(1). http://technorhetoric.net/21.1/topoi/butler/index.html</w:t>
      </w:r>
    </w:p>
    <w:p w14:paraId="651690D6"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Carey</w:t>
      </w:r>
      <w:proofErr w:type="spellEnd"/>
      <w:r w:rsidRPr="00216D6E">
        <w:rPr>
          <w:rFonts w:ascii="Times New Roman" w:hAnsi="Times New Roman"/>
          <w:color w:val="000000"/>
          <w:sz w:val="24"/>
          <w:szCs w:val="24"/>
        </w:rPr>
        <w:t xml:space="preserve">, B. (2019, </w:t>
      </w:r>
      <w:proofErr w:type="spellStart"/>
      <w:r w:rsidRPr="00216D6E">
        <w:rPr>
          <w:rFonts w:ascii="Times New Roman" w:hAnsi="Times New Roman"/>
          <w:color w:val="000000"/>
          <w:sz w:val="24"/>
          <w:szCs w:val="24"/>
        </w:rPr>
        <w:t>March</w:t>
      </w:r>
      <w:proofErr w:type="spellEnd"/>
      <w:r w:rsidRPr="00216D6E">
        <w:rPr>
          <w:rFonts w:ascii="Times New Roman" w:hAnsi="Times New Roman"/>
          <w:color w:val="000000"/>
          <w:sz w:val="24"/>
          <w:szCs w:val="24"/>
        </w:rPr>
        <w:t xml:space="preserve"> 22). </w:t>
      </w:r>
      <w:proofErr w:type="spellStart"/>
      <w:r w:rsidRPr="00216D6E">
        <w:rPr>
          <w:rFonts w:ascii="Times New Roman" w:hAnsi="Times New Roman"/>
          <w:color w:val="000000"/>
          <w:sz w:val="24"/>
          <w:szCs w:val="24"/>
        </w:rPr>
        <w:t>Can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we</w:t>
      </w:r>
      <w:proofErr w:type="spellEnd"/>
      <w:r w:rsidRPr="00216D6E">
        <w:rPr>
          <w:rFonts w:ascii="Times New Roman" w:hAnsi="Times New Roman"/>
          <w:color w:val="000000"/>
          <w:sz w:val="24"/>
          <w:szCs w:val="24"/>
        </w:rPr>
        <w:t xml:space="preserve"> get </w:t>
      </w:r>
      <w:proofErr w:type="spellStart"/>
      <w:r w:rsidRPr="00216D6E">
        <w:rPr>
          <w:rFonts w:ascii="Times New Roman" w:hAnsi="Times New Roman"/>
          <w:color w:val="000000"/>
          <w:sz w:val="24"/>
          <w:szCs w:val="24"/>
        </w:rPr>
        <w:t>better</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forgetting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New York </w:t>
      </w:r>
      <w:proofErr w:type="spellStart"/>
      <w:r w:rsidRPr="00216D6E">
        <w:rPr>
          <w:rFonts w:ascii="Times New Roman" w:hAnsi="Times New Roman"/>
          <w:color w:val="000000"/>
          <w:sz w:val="24"/>
          <w:szCs w:val="24"/>
        </w:rPr>
        <w:t>Times</w:t>
      </w:r>
      <w:proofErr w:type="spellEnd"/>
      <w:r w:rsidRPr="00216D6E">
        <w:rPr>
          <w:rFonts w:ascii="Times New Roman" w:hAnsi="Times New Roman"/>
          <w:color w:val="000000"/>
          <w:sz w:val="24"/>
          <w:szCs w:val="24"/>
        </w:rPr>
        <w:t>. https://www.nytimes.com/2019/03/22/health/memory-forgetting-psychology.html</w:t>
      </w:r>
    </w:p>
    <w:p w14:paraId="2DBF5894"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Dillard</w:t>
      </w:r>
      <w:proofErr w:type="spellEnd"/>
      <w:r w:rsidRPr="00216D6E">
        <w:rPr>
          <w:rFonts w:ascii="Times New Roman" w:hAnsi="Times New Roman"/>
          <w:color w:val="000000"/>
          <w:sz w:val="24"/>
          <w:szCs w:val="24"/>
        </w:rPr>
        <w:t xml:space="preserve">, J. P. (2020). </w:t>
      </w:r>
      <w:proofErr w:type="spellStart"/>
      <w:r w:rsidRPr="00216D6E">
        <w:rPr>
          <w:rFonts w:ascii="Times New Roman" w:hAnsi="Times New Roman"/>
          <w:color w:val="000000"/>
          <w:sz w:val="24"/>
          <w:szCs w:val="24"/>
        </w:rPr>
        <w:t>Currents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study of </w:t>
      </w:r>
      <w:proofErr w:type="spellStart"/>
      <w:r w:rsidRPr="00216D6E">
        <w:rPr>
          <w:rFonts w:ascii="Times New Roman" w:hAnsi="Times New Roman"/>
          <w:color w:val="000000"/>
          <w:sz w:val="24"/>
          <w:szCs w:val="24"/>
        </w:rPr>
        <w:t>persuasion</w:t>
      </w:r>
      <w:proofErr w:type="spellEnd"/>
      <w:r w:rsidRPr="00216D6E">
        <w:rPr>
          <w:rFonts w:ascii="Times New Roman" w:hAnsi="Times New Roman"/>
          <w:color w:val="000000"/>
          <w:sz w:val="24"/>
          <w:szCs w:val="24"/>
        </w:rPr>
        <w:t xml:space="preserve">. In M. B. Oliver, A. A. </w:t>
      </w:r>
      <w:proofErr w:type="spellStart"/>
      <w:r w:rsidRPr="00216D6E">
        <w:rPr>
          <w:rFonts w:ascii="Times New Roman" w:hAnsi="Times New Roman"/>
          <w:color w:val="000000"/>
          <w:sz w:val="24"/>
          <w:szCs w:val="24"/>
        </w:rPr>
        <w:t>Raney</w:t>
      </w:r>
      <w:proofErr w:type="spellEnd"/>
      <w:r w:rsidRPr="00216D6E">
        <w:rPr>
          <w:rFonts w:ascii="Times New Roman" w:hAnsi="Times New Roman"/>
          <w:color w:val="000000"/>
          <w:sz w:val="24"/>
          <w:szCs w:val="24"/>
        </w:rPr>
        <w:t xml:space="preserve">, &amp; J. </w:t>
      </w:r>
      <w:proofErr w:type="spellStart"/>
      <w:r w:rsidRPr="00216D6E">
        <w:rPr>
          <w:rFonts w:ascii="Times New Roman" w:hAnsi="Times New Roman"/>
          <w:color w:val="000000"/>
          <w:sz w:val="24"/>
          <w:szCs w:val="24"/>
        </w:rPr>
        <w:t>Bryant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effects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Advances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research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pp</w:t>
      </w:r>
      <w:proofErr w:type="spellEnd"/>
      <w:r w:rsidRPr="00216D6E">
        <w:rPr>
          <w:rFonts w:ascii="Times New Roman" w:hAnsi="Times New Roman"/>
          <w:color w:val="000000"/>
          <w:sz w:val="24"/>
          <w:szCs w:val="24"/>
        </w:rPr>
        <w:t xml:space="preserve">. 115–129). </w:t>
      </w:r>
      <w:proofErr w:type="spellStart"/>
      <w:r w:rsidRPr="00216D6E">
        <w:rPr>
          <w:rFonts w:ascii="Times New Roman" w:hAnsi="Times New Roman"/>
          <w:color w:val="000000"/>
          <w:sz w:val="24"/>
          <w:szCs w:val="24"/>
        </w:rPr>
        <w:t>Routledge</w:t>
      </w:r>
      <w:proofErr w:type="spellEnd"/>
      <w:r w:rsidRPr="00216D6E">
        <w:rPr>
          <w:rFonts w:ascii="Times New Roman" w:hAnsi="Times New Roman"/>
          <w:color w:val="000000"/>
          <w:sz w:val="24"/>
          <w:szCs w:val="24"/>
        </w:rPr>
        <w:t>. https://doi.org/10.1037/0000120-016</w:t>
      </w:r>
    </w:p>
    <w:p w14:paraId="20B602C1"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lastRenderedPageBreak/>
        <w:t>Duckworth</w:t>
      </w:r>
      <w:proofErr w:type="spellEnd"/>
      <w:r w:rsidRPr="00216D6E">
        <w:rPr>
          <w:rFonts w:ascii="Times New Roman" w:hAnsi="Times New Roman"/>
          <w:color w:val="000000"/>
          <w:sz w:val="24"/>
          <w:szCs w:val="24"/>
        </w:rPr>
        <w:t xml:space="preserve">, A. L., </w:t>
      </w:r>
      <w:proofErr w:type="spellStart"/>
      <w:r w:rsidRPr="00216D6E">
        <w:rPr>
          <w:rFonts w:ascii="Times New Roman" w:hAnsi="Times New Roman"/>
          <w:color w:val="000000"/>
          <w:sz w:val="24"/>
          <w:szCs w:val="24"/>
        </w:rPr>
        <w:t>Quirk</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Gallop</w:t>
      </w:r>
      <w:proofErr w:type="spellEnd"/>
      <w:r w:rsidRPr="00216D6E">
        <w:rPr>
          <w:rFonts w:ascii="Times New Roman" w:hAnsi="Times New Roman"/>
          <w:color w:val="000000"/>
          <w:sz w:val="24"/>
          <w:szCs w:val="24"/>
        </w:rPr>
        <w:t xml:space="preserve">, R., </w:t>
      </w:r>
      <w:proofErr w:type="spellStart"/>
      <w:r w:rsidRPr="00216D6E">
        <w:rPr>
          <w:rFonts w:ascii="Times New Roman" w:hAnsi="Times New Roman"/>
          <w:color w:val="000000"/>
          <w:sz w:val="24"/>
          <w:szCs w:val="24"/>
        </w:rPr>
        <w:t>Hoyle</w:t>
      </w:r>
      <w:proofErr w:type="spellEnd"/>
      <w:r w:rsidRPr="00216D6E">
        <w:rPr>
          <w:rFonts w:ascii="Times New Roman" w:hAnsi="Times New Roman"/>
          <w:color w:val="000000"/>
          <w:sz w:val="24"/>
          <w:szCs w:val="24"/>
        </w:rPr>
        <w:t xml:space="preserve">, R. H., </w:t>
      </w:r>
      <w:proofErr w:type="spellStart"/>
      <w:r w:rsidRPr="00216D6E">
        <w:rPr>
          <w:rFonts w:ascii="Times New Roman" w:hAnsi="Times New Roman"/>
          <w:color w:val="000000"/>
          <w:sz w:val="24"/>
          <w:szCs w:val="24"/>
        </w:rPr>
        <w:t>Kelly</w:t>
      </w:r>
      <w:proofErr w:type="spellEnd"/>
      <w:r w:rsidRPr="00216D6E">
        <w:rPr>
          <w:rFonts w:ascii="Times New Roman" w:hAnsi="Times New Roman"/>
          <w:color w:val="000000"/>
          <w:sz w:val="24"/>
          <w:szCs w:val="24"/>
        </w:rPr>
        <w:t xml:space="preserve">, D. R., &amp; </w:t>
      </w:r>
      <w:proofErr w:type="spellStart"/>
      <w:r w:rsidRPr="00216D6E">
        <w:rPr>
          <w:rFonts w:ascii="Times New Roman" w:hAnsi="Times New Roman"/>
          <w:color w:val="000000"/>
          <w:sz w:val="24"/>
          <w:szCs w:val="24"/>
        </w:rPr>
        <w:t>Matthews</w:t>
      </w:r>
      <w:proofErr w:type="spellEnd"/>
      <w:r w:rsidRPr="00216D6E">
        <w:rPr>
          <w:rFonts w:ascii="Times New Roman" w:hAnsi="Times New Roman"/>
          <w:color w:val="000000"/>
          <w:sz w:val="24"/>
          <w:szCs w:val="24"/>
        </w:rPr>
        <w:t xml:space="preserve">, M. D. (2019). </w:t>
      </w:r>
      <w:proofErr w:type="spellStart"/>
      <w:r w:rsidRPr="00216D6E">
        <w:rPr>
          <w:rFonts w:ascii="Times New Roman" w:hAnsi="Times New Roman"/>
          <w:color w:val="000000"/>
          <w:sz w:val="24"/>
          <w:szCs w:val="24"/>
        </w:rPr>
        <w:t>Cognitive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noncognitive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predictors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success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Proceedings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Academy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Sciences</w:t>
      </w:r>
      <w:proofErr w:type="spellEnd"/>
      <w:r w:rsidRPr="00216D6E">
        <w:rPr>
          <w:rFonts w:ascii="Times New Roman" w:hAnsi="Times New Roman"/>
          <w:color w:val="000000"/>
          <w:sz w:val="24"/>
          <w:szCs w:val="24"/>
        </w:rPr>
        <w:t>, USA, 116(47), 23499–23504. https://doi.org/10.1073/pnas.1910510116</w:t>
      </w:r>
    </w:p>
    <w:p w14:paraId="0194698E"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Grady</w:t>
      </w:r>
      <w:proofErr w:type="spellEnd"/>
      <w:r w:rsidRPr="00216D6E">
        <w:rPr>
          <w:rFonts w:ascii="Times New Roman" w:hAnsi="Times New Roman"/>
          <w:color w:val="000000"/>
          <w:sz w:val="24"/>
          <w:szCs w:val="24"/>
        </w:rPr>
        <w:t xml:space="preserve">, J. S., </w:t>
      </w:r>
      <w:proofErr w:type="spellStart"/>
      <w:r w:rsidRPr="00216D6E">
        <w:rPr>
          <w:rFonts w:ascii="Times New Roman" w:hAnsi="Times New Roman"/>
          <w:color w:val="000000"/>
          <w:sz w:val="24"/>
          <w:szCs w:val="24"/>
        </w:rPr>
        <w:t>Her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Moreno</w:t>
      </w:r>
      <w:proofErr w:type="spellEnd"/>
      <w:r w:rsidRPr="00216D6E">
        <w:rPr>
          <w:rFonts w:ascii="Times New Roman" w:hAnsi="Times New Roman"/>
          <w:color w:val="000000"/>
          <w:sz w:val="24"/>
          <w:szCs w:val="24"/>
        </w:rPr>
        <w:t xml:space="preserve">, G., </w:t>
      </w:r>
      <w:proofErr w:type="spellStart"/>
      <w:r w:rsidRPr="00216D6E">
        <w:rPr>
          <w:rFonts w:ascii="Times New Roman" w:hAnsi="Times New Roman"/>
          <w:color w:val="000000"/>
          <w:sz w:val="24"/>
          <w:szCs w:val="24"/>
        </w:rPr>
        <w:t>Perez</w:t>
      </w:r>
      <w:proofErr w:type="spellEnd"/>
      <w:r w:rsidRPr="00216D6E">
        <w:rPr>
          <w:rFonts w:ascii="Times New Roman" w:hAnsi="Times New Roman"/>
          <w:color w:val="000000"/>
          <w:sz w:val="24"/>
          <w:szCs w:val="24"/>
        </w:rPr>
        <w:t xml:space="preserve">, C., &amp; </w:t>
      </w:r>
      <w:proofErr w:type="spellStart"/>
      <w:r w:rsidRPr="00216D6E">
        <w:rPr>
          <w:rFonts w:ascii="Times New Roman" w:hAnsi="Times New Roman"/>
          <w:color w:val="000000"/>
          <w:sz w:val="24"/>
          <w:szCs w:val="24"/>
        </w:rPr>
        <w:t>Yelinek</w:t>
      </w:r>
      <w:proofErr w:type="spellEnd"/>
      <w:r w:rsidRPr="00216D6E">
        <w:rPr>
          <w:rFonts w:ascii="Times New Roman" w:hAnsi="Times New Roman"/>
          <w:color w:val="000000"/>
          <w:sz w:val="24"/>
          <w:szCs w:val="24"/>
        </w:rPr>
        <w:t xml:space="preserve">, J. (2019). </w:t>
      </w:r>
      <w:proofErr w:type="spellStart"/>
      <w:r w:rsidRPr="00216D6E">
        <w:rPr>
          <w:rFonts w:ascii="Times New Roman" w:hAnsi="Times New Roman"/>
          <w:color w:val="000000"/>
          <w:sz w:val="24"/>
          <w:szCs w:val="24"/>
        </w:rPr>
        <w:t>Emotions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comparison</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storybooks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that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represent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ethnic</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racial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groups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United </w:t>
      </w:r>
      <w:proofErr w:type="spellStart"/>
      <w:r w:rsidRPr="00216D6E">
        <w:rPr>
          <w:rFonts w:ascii="Times New Roman" w:hAnsi="Times New Roman"/>
          <w:color w:val="000000"/>
          <w:sz w:val="24"/>
          <w:szCs w:val="24"/>
        </w:rPr>
        <w:t>States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Psychology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Popular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Media</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Culture</w:t>
      </w:r>
      <w:proofErr w:type="spellEnd"/>
      <w:r w:rsidRPr="00216D6E">
        <w:rPr>
          <w:rFonts w:ascii="Times New Roman" w:hAnsi="Times New Roman"/>
          <w:color w:val="000000"/>
          <w:sz w:val="24"/>
          <w:szCs w:val="24"/>
        </w:rPr>
        <w:t>, 8(3), 207–217. https://doi.org/10.1037/ppm0000185</w:t>
      </w:r>
    </w:p>
    <w:p w14:paraId="35A20BFB"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Jerrentrup</w:t>
      </w:r>
      <w:proofErr w:type="spellEnd"/>
      <w:r w:rsidRPr="00216D6E">
        <w:rPr>
          <w:rFonts w:ascii="Times New Roman" w:hAnsi="Times New Roman"/>
          <w:color w:val="000000"/>
          <w:sz w:val="24"/>
          <w:szCs w:val="24"/>
        </w:rPr>
        <w:t xml:space="preserve">, A., </w:t>
      </w:r>
      <w:proofErr w:type="spellStart"/>
      <w:r w:rsidRPr="00216D6E">
        <w:rPr>
          <w:rFonts w:ascii="Times New Roman" w:hAnsi="Times New Roman"/>
          <w:color w:val="000000"/>
          <w:sz w:val="24"/>
          <w:szCs w:val="24"/>
        </w:rPr>
        <w:t>Mueller</w:t>
      </w:r>
      <w:proofErr w:type="spellEnd"/>
      <w:r w:rsidRPr="00216D6E">
        <w:rPr>
          <w:rFonts w:ascii="Times New Roman" w:hAnsi="Times New Roman"/>
          <w:color w:val="000000"/>
          <w:sz w:val="24"/>
          <w:szCs w:val="24"/>
        </w:rPr>
        <w:t xml:space="preserve">, T., </w:t>
      </w:r>
      <w:proofErr w:type="spellStart"/>
      <w:r w:rsidRPr="00216D6E">
        <w:rPr>
          <w:rFonts w:ascii="Times New Roman" w:hAnsi="Times New Roman"/>
          <w:color w:val="000000"/>
          <w:sz w:val="24"/>
          <w:szCs w:val="24"/>
        </w:rPr>
        <w:t>Glowalla</w:t>
      </w:r>
      <w:proofErr w:type="spellEnd"/>
      <w:r w:rsidRPr="00216D6E">
        <w:rPr>
          <w:rFonts w:ascii="Times New Roman" w:hAnsi="Times New Roman"/>
          <w:color w:val="000000"/>
          <w:sz w:val="24"/>
          <w:szCs w:val="24"/>
        </w:rPr>
        <w:t xml:space="preserve">, U., </w:t>
      </w:r>
      <w:proofErr w:type="spellStart"/>
      <w:r w:rsidRPr="00216D6E">
        <w:rPr>
          <w:rFonts w:ascii="Times New Roman" w:hAnsi="Times New Roman"/>
          <w:color w:val="000000"/>
          <w:sz w:val="24"/>
          <w:szCs w:val="24"/>
        </w:rPr>
        <w:t>Herder</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Henrichs</w:t>
      </w:r>
      <w:proofErr w:type="spellEnd"/>
      <w:r w:rsidRPr="00216D6E">
        <w:rPr>
          <w:rFonts w:ascii="Times New Roman" w:hAnsi="Times New Roman"/>
          <w:color w:val="000000"/>
          <w:sz w:val="24"/>
          <w:szCs w:val="24"/>
        </w:rPr>
        <w:t xml:space="preserve">, N., </w:t>
      </w:r>
      <w:proofErr w:type="spellStart"/>
      <w:r w:rsidRPr="00216D6E">
        <w:rPr>
          <w:rFonts w:ascii="Times New Roman" w:hAnsi="Times New Roman"/>
          <w:color w:val="000000"/>
          <w:sz w:val="24"/>
          <w:szCs w:val="24"/>
        </w:rPr>
        <w:t>Neubauer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Schaefer</w:t>
      </w:r>
      <w:proofErr w:type="spellEnd"/>
      <w:r w:rsidRPr="00216D6E">
        <w:rPr>
          <w:rFonts w:ascii="Times New Roman" w:hAnsi="Times New Roman"/>
          <w:color w:val="000000"/>
          <w:sz w:val="24"/>
          <w:szCs w:val="24"/>
        </w:rPr>
        <w:t xml:space="preserve">, J. R. (2018). </w:t>
      </w:r>
      <w:proofErr w:type="spellStart"/>
      <w:r w:rsidRPr="00216D6E">
        <w:rPr>
          <w:rFonts w:ascii="Times New Roman" w:hAnsi="Times New Roman"/>
          <w:color w:val="000000"/>
          <w:sz w:val="24"/>
          <w:szCs w:val="24"/>
        </w:rPr>
        <w:t>Teaching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medicine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with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help</w:t>
      </w:r>
      <w:proofErr w:type="spellEnd"/>
      <w:r w:rsidRPr="00216D6E">
        <w:rPr>
          <w:rFonts w:ascii="Times New Roman" w:hAnsi="Times New Roman"/>
          <w:color w:val="000000"/>
          <w:sz w:val="24"/>
          <w:szCs w:val="24"/>
        </w:rPr>
        <w:t xml:space="preserve"> of “Dr. </w:t>
      </w:r>
      <w:proofErr w:type="spellStart"/>
      <w:r w:rsidRPr="00216D6E">
        <w:rPr>
          <w:rFonts w:ascii="Times New Roman" w:hAnsi="Times New Roman"/>
          <w:color w:val="000000"/>
          <w:sz w:val="24"/>
          <w:szCs w:val="24"/>
        </w:rPr>
        <w:t>House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PLoS</w:t>
      </w:r>
      <w:proofErr w:type="spellEnd"/>
      <w:r w:rsidRPr="00216D6E">
        <w:rPr>
          <w:rFonts w:ascii="Times New Roman" w:hAnsi="Times New Roman"/>
          <w:color w:val="000000"/>
          <w:sz w:val="24"/>
          <w:szCs w:val="24"/>
        </w:rPr>
        <w:t xml:space="preserve"> ONE, 13(3), </w:t>
      </w:r>
      <w:proofErr w:type="spellStart"/>
      <w:r w:rsidRPr="00216D6E">
        <w:rPr>
          <w:rFonts w:ascii="Times New Roman" w:hAnsi="Times New Roman"/>
          <w:color w:val="000000"/>
          <w:sz w:val="24"/>
          <w:szCs w:val="24"/>
        </w:rPr>
        <w:t>Article</w:t>
      </w:r>
      <w:proofErr w:type="spellEnd"/>
      <w:r w:rsidRPr="00216D6E">
        <w:rPr>
          <w:rFonts w:ascii="Times New Roman" w:hAnsi="Times New Roman"/>
          <w:color w:val="000000"/>
          <w:sz w:val="24"/>
          <w:szCs w:val="24"/>
        </w:rPr>
        <w:t xml:space="preserve"> e0193972. https://doi.org/10.1371/journal.pone.0193972</w:t>
      </w:r>
    </w:p>
    <w:p w14:paraId="24B27A26"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r w:rsidRPr="00216D6E">
        <w:rPr>
          <w:rFonts w:ascii="Times New Roman" w:hAnsi="Times New Roman"/>
          <w:color w:val="000000"/>
          <w:sz w:val="24"/>
          <w:szCs w:val="24"/>
        </w:rPr>
        <w:t xml:space="preserve">National </w:t>
      </w:r>
      <w:proofErr w:type="spellStart"/>
      <w:r w:rsidRPr="00216D6E">
        <w:rPr>
          <w:rFonts w:ascii="Times New Roman" w:hAnsi="Times New Roman"/>
          <w:color w:val="000000"/>
          <w:sz w:val="24"/>
          <w:szCs w:val="24"/>
        </w:rPr>
        <w:t>Institute</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Mental</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(2018, </w:t>
      </w:r>
      <w:proofErr w:type="spellStart"/>
      <w:r w:rsidRPr="00216D6E">
        <w:rPr>
          <w:rFonts w:ascii="Times New Roman" w:hAnsi="Times New Roman"/>
          <w:color w:val="000000"/>
          <w:sz w:val="24"/>
          <w:szCs w:val="24"/>
        </w:rPr>
        <w:t>July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Anxiety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disorders</w:t>
      </w:r>
      <w:proofErr w:type="spellEnd"/>
      <w:r w:rsidRPr="00216D6E">
        <w:rPr>
          <w:rFonts w:ascii="Times New Roman" w:hAnsi="Times New Roman"/>
          <w:color w:val="000000"/>
          <w:sz w:val="24"/>
          <w:szCs w:val="24"/>
        </w:rPr>
        <w:t xml:space="preserve">. U.S. Department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Services</w:t>
      </w:r>
      <w:proofErr w:type="spellEnd"/>
      <w:r w:rsidRPr="00216D6E">
        <w:rPr>
          <w:rFonts w:ascii="Times New Roman" w:hAnsi="Times New Roman"/>
          <w:color w:val="000000"/>
          <w:sz w:val="24"/>
          <w:szCs w:val="24"/>
        </w:rPr>
        <w:t xml:space="preserve">, National </w:t>
      </w:r>
      <w:proofErr w:type="spellStart"/>
      <w:r w:rsidRPr="00216D6E">
        <w:rPr>
          <w:rFonts w:ascii="Times New Roman" w:hAnsi="Times New Roman"/>
          <w:color w:val="000000"/>
          <w:sz w:val="24"/>
          <w:szCs w:val="24"/>
        </w:rPr>
        <w:t>Institutes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https://www.nimh.nih.gov/health/topics/anxiety-disorders/index.shtml</w:t>
      </w:r>
    </w:p>
    <w:p w14:paraId="6E04BA33"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Sanchiz</w:t>
      </w:r>
      <w:proofErr w:type="spellEnd"/>
      <w:r w:rsidRPr="00216D6E">
        <w:rPr>
          <w:rFonts w:ascii="Times New Roman" w:hAnsi="Times New Roman"/>
          <w:color w:val="000000"/>
          <w:sz w:val="24"/>
          <w:szCs w:val="24"/>
        </w:rPr>
        <w:t xml:space="preserve">, M., </w:t>
      </w:r>
      <w:proofErr w:type="spellStart"/>
      <w:r w:rsidRPr="00216D6E">
        <w:rPr>
          <w:rFonts w:ascii="Times New Roman" w:hAnsi="Times New Roman"/>
          <w:color w:val="000000"/>
          <w:sz w:val="24"/>
          <w:szCs w:val="24"/>
        </w:rPr>
        <w:t>Chevalier</w:t>
      </w:r>
      <w:proofErr w:type="spellEnd"/>
      <w:r w:rsidRPr="00216D6E">
        <w:rPr>
          <w:rFonts w:ascii="Times New Roman" w:hAnsi="Times New Roman"/>
          <w:color w:val="000000"/>
          <w:sz w:val="24"/>
          <w:szCs w:val="24"/>
        </w:rPr>
        <w:t xml:space="preserve">, A., &amp; </w:t>
      </w:r>
      <w:proofErr w:type="spellStart"/>
      <w:r w:rsidRPr="00216D6E">
        <w:rPr>
          <w:rFonts w:ascii="Times New Roman" w:hAnsi="Times New Roman"/>
          <w:color w:val="000000"/>
          <w:sz w:val="24"/>
          <w:szCs w:val="24"/>
        </w:rPr>
        <w:t>Amadieu</w:t>
      </w:r>
      <w:proofErr w:type="spellEnd"/>
      <w:r w:rsidRPr="00216D6E">
        <w:rPr>
          <w:rFonts w:ascii="Times New Roman" w:hAnsi="Times New Roman"/>
          <w:color w:val="000000"/>
          <w:sz w:val="24"/>
          <w:szCs w:val="24"/>
        </w:rPr>
        <w:t xml:space="preserve">, F. (2017). </w:t>
      </w:r>
      <w:proofErr w:type="spellStart"/>
      <w:r w:rsidRPr="00216D6E">
        <w:rPr>
          <w:rFonts w:ascii="Times New Roman" w:hAnsi="Times New Roman"/>
          <w:color w:val="000000"/>
          <w:sz w:val="24"/>
          <w:szCs w:val="24"/>
        </w:rPr>
        <w:t>How</w:t>
      </w:r>
      <w:proofErr w:type="spellEnd"/>
      <w:r w:rsidRPr="00216D6E">
        <w:rPr>
          <w:rFonts w:ascii="Times New Roman" w:hAnsi="Times New Roman"/>
          <w:color w:val="000000"/>
          <w:sz w:val="24"/>
          <w:szCs w:val="24"/>
        </w:rPr>
        <w:t xml:space="preserve"> do </w:t>
      </w:r>
      <w:proofErr w:type="spellStart"/>
      <w:r w:rsidRPr="00216D6E">
        <w:rPr>
          <w:rFonts w:ascii="Times New Roman" w:hAnsi="Times New Roman"/>
          <w:color w:val="000000"/>
          <w:sz w:val="24"/>
          <w:szCs w:val="24"/>
        </w:rPr>
        <w:t>older</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young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adults</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start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for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Impact</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age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domain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knowledge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problem</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complexity</w:t>
      </w:r>
      <w:proofErr w:type="spellEnd"/>
      <w:r w:rsidRPr="00216D6E">
        <w:rPr>
          <w:rFonts w:ascii="Times New Roman" w:hAnsi="Times New Roman"/>
          <w:color w:val="000000"/>
          <w:sz w:val="24"/>
          <w:szCs w:val="24"/>
        </w:rPr>
        <w:t xml:space="preserve"> on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different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steps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information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searching</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Computers</w:t>
      </w:r>
      <w:proofErr w:type="spellEnd"/>
      <w:r w:rsidRPr="00216D6E">
        <w:rPr>
          <w:rFonts w:ascii="Times New Roman" w:hAnsi="Times New Roman"/>
          <w:color w:val="000000"/>
          <w:sz w:val="24"/>
          <w:szCs w:val="24"/>
        </w:rPr>
        <w:t xml:space="preserve"> in </w:t>
      </w:r>
      <w:proofErr w:type="spellStart"/>
      <w:r w:rsidRPr="00216D6E">
        <w:rPr>
          <w:rFonts w:ascii="Times New Roman" w:hAnsi="Times New Roman"/>
          <w:color w:val="000000"/>
          <w:sz w:val="24"/>
          <w:szCs w:val="24"/>
        </w:rPr>
        <w:t>Human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Behavior</w:t>
      </w:r>
      <w:proofErr w:type="spellEnd"/>
      <w:r w:rsidRPr="00216D6E">
        <w:rPr>
          <w:rFonts w:ascii="Times New Roman" w:hAnsi="Times New Roman"/>
          <w:color w:val="000000"/>
          <w:sz w:val="24"/>
          <w:szCs w:val="24"/>
        </w:rPr>
        <w:t>, 72, 67–78. https://doi.org/10.1016/j.chb.2017.02.038</w:t>
      </w:r>
    </w:p>
    <w:p w14:paraId="466831C9" w14:textId="77777777" w:rsidR="00987AE6" w:rsidRPr="00F36DF6"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Sapolsky</w:t>
      </w:r>
      <w:proofErr w:type="spellEnd"/>
      <w:r w:rsidRPr="00216D6E">
        <w:rPr>
          <w:rFonts w:ascii="Times New Roman" w:hAnsi="Times New Roman"/>
          <w:color w:val="000000"/>
          <w:sz w:val="24"/>
          <w:szCs w:val="24"/>
        </w:rPr>
        <w:t xml:space="preserve">, R. M. (2017). </w:t>
      </w:r>
      <w:proofErr w:type="spellStart"/>
      <w:r w:rsidRPr="00216D6E">
        <w:rPr>
          <w:rFonts w:ascii="Times New Roman" w:hAnsi="Times New Roman"/>
          <w:color w:val="000000"/>
          <w:sz w:val="24"/>
          <w:szCs w:val="24"/>
        </w:rPr>
        <w:t>Behave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biology</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humans</w:t>
      </w:r>
      <w:proofErr w:type="spellEnd"/>
      <w:r w:rsidRPr="00216D6E">
        <w:rPr>
          <w:rFonts w:ascii="Times New Roman" w:hAnsi="Times New Roman"/>
          <w:color w:val="000000"/>
          <w:sz w:val="24"/>
          <w:szCs w:val="24"/>
        </w:rPr>
        <w:t xml:space="preserve"> at </w:t>
      </w:r>
      <w:proofErr w:type="spellStart"/>
      <w:r w:rsidRPr="00216D6E">
        <w:rPr>
          <w:rFonts w:ascii="Times New Roman" w:hAnsi="Times New Roman"/>
          <w:color w:val="000000"/>
          <w:sz w:val="24"/>
          <w:szCs w:val="24"/>
        </w:rPr>
        <w:t>our</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best</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worst</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Penguin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Books</w:t>
      </w:r>
      <w:proofErr w:type="spellEnd"/>
      <w:r w:rsidRPr="00216D6E">
        <w:rPr>
          <w:rFonts w:ascii="Times New Roman" w:hAnsi="Times New Roman"/>
          <w:color w:val="000000"/>
          <w:sz w:val="24"/>
          <w:szCs w:val="24"/>
        </w:rPr>
        <w:t>.</w:t>
      </w:r>
    </w:p>
    <w:p w14:paraId="264ABE38"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Torino</w:t>
      </w:r>
      <w:proofErr w:type="spellEnd"/>
      <w:r w:rsidRPr="00216D6E">
        <w:rPr>
          <w:rFonts w:ascii="Times New Roman" w:hAnsi="Times New Roman"/>
          <w:color w:val="000000"/>
          <w:sz w:val="24"/>
          <w:szCs w:val="24"/>
        </w:rPr>
        <w:t xml:space="preserve">, G. C., </w:t>
      </w:r>
      <w:proofErr w:type="spellStart"/>
      <w:r w:rsidRPr="00216D6E">
        <w:rPr>
          <w:rFonts w:ascii="Times New Roman" w:hAnsi="Times New Roman"/>
          <w:color w:val="000000"/>
          <w:sz w:val="24"/>
          <w:szCs w:val="24"/>
        </w:rPr>
        <w:t>Rivera</w:t>
      </w:r>
      <w:proofErr w:type="spellEnd"/>
      <w:r w:rsidRPr="00216D6E">
        <w:rPr>
          <w:rFonts w:ascii="Times New Roman" w:hAnsi="Times New Roman"/>
          <w:color w:val="000000"/>
          <w:sz w:val="24"/>
          <w:szCs w:val="24"/>
        </w:rPr>
        <w:t xml:space="preserve">, D. P., </w:t>
      </w:r>
      <w:proofErr w:type="spellStart"/>
      <w:r w:rsidRPr="00216D6E">
        <w:rPr>
          <w:rFonts w:ascii="Times New Roman" w:hAnsi="Times New Roman"/>
          <w:color w:val="000000"/>
          <w:sz w:val="24"/>
          <w:szCs w:val="24"/>
        </w:rPr>
        <w:t>Capodilupo</w:t>
      </w:r>
      <w:proofErr w:type="spellEnd"/>
      <w:r w:rsidRPr="00216D6E">
        <w:rPr>
          <w:rFonts w:ascii="Times New Roman" w:hAnsi="Times New Roman"/>
          <w:color w:val="000000"/>
          <w:sz w:val="24"/>
          <w:szCs w:val="24"/>
        </w:rPr>
        <w:t xml:space="preserve">, C. M., Nadal, K. L., &amp; </w:t>
      </w:r>
      <w:proofErr w:type="spellStart"/>
      <w:r w:rsidRPr="00216D6E">
        <w:rPr>
          <w:rFonts w:ascii="Times New Roman" w:hAnsi="Times New Roman"/>
          <w:color w:val="000000"/>
          <w:sz w:val="24"/>
          <w:szCs w:val="24"/>
        </w:rPr>
        <w:t>Sue</w:t>
      </w:r>
      <w:proofErr w:type="spellEnd"/>
      <w:r w:rsidRPr="00216D6E">
        <w:rPr>
          <w:rFonts w:ascii="Times New Roman" w:hAnsi="Times New Roman"/>
          <w:color w:val="000000"/>
          <w:sz w:val="24"/>
          <w:szCs w:val="24"/>
        </w:rPr>
        <w:t>, D. W. (</w:t>
      </w:r>
      <w:proofErr w:type="spellStart"/>
      <w:r w:rsidRPr="00216D6E">
        <w:rPr>
          <w:rFonts w:ascii="Times New Roman" w:hAnsi="Times New Roman"/>
          <w:color w:val="000000"/>
          <w:sz w:val="24"/>
          <w:szCs w:val="24"/>
        </w:rPr>
        <w:t>Eds</w:t>
      </w:r>
      <w:proofErr w:type="spellEnd"/>
      <w:r w:rsidRPr="00216D6E">
        <w:rPr>
          <w:rFonts w:ascii="Times New Roman" w:hAnsi="Times New Roman"/>
          <w:color w:val="000000"/>
          <w:sz w:val="24"/>
          <w:szCs w:val="24"/>
        </w:rPr>
        <w:t xml:space="preserve">.). (2019). </w:t>
      </w:r>
      <w:proofErr w:type="spellStart"/>
      <w:r w:rsidRPr="00216D6E">
        <w:rPr>
          <w:rFonts w:ascii="Times New Roman" w:hAnsi="Times New Roman"/>
          <w:color w:val="000000"/>
          <w:sz w:val="24"/>
          <w:szCs w:val="24"/>
        </w:rPr>
        <w:t>Microaggression</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theory</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Influence</w:t>
      </w:r>
      <w:proofErr w:type="spellEnd"/>
      <w:r w:rsidRPr="00216D6E">
        <w:rPr>
          <w:rFonts w:ascii="Times New Roman" w:hAnsi="Times New Roman"/>
          <w:color w:val="000000"/>
          <w:sz w:val="24"/>
          <w:szCs w:val="24"/>
        </w:rPr>
        <w:t xml:space="preserve"> and </w:t>
      </w:r>
      <w:proofErr w:type="spellStart"/>
      <w:r w:rsidRPr="00216D6E">
        <w:rPr>
          <w:rFonts w:ascii="Times New Roman" w:hAnsi="Times New Roman"/>
          <w:color w:val="000000"/>
          <w:sz w:val="24"/>
          <w:szCs w:val="24"/>
        </w:rPr>
        <w:t>implications</w:t>
      </w:r>
      <w:proofErr w:type="spellEnd"/>
      <w:r w:rsidRPr="00216D6E">
        <w:rPr>
          <w:rFonts w:ascii="Times New Roman" w:hAnsi="Times New Roman"/>
          <w:color w:val="000000"/>
          <w:sz w:val="24"/>
          <w:szCs w:val="24"/>
        </w:rPr>
        <w:t xml:space="preserve">. John </w:t>
      </w:r>
      <w:proofErr w:type="spellStart"/>
      <w:r w:rsidRPr="00216D6E">
        <w:rPr>
          <w:rFonts w:ascii="Times New Roman" w:hAnsi="Times New Roman"/>
          <w:color w:val="000000"/>
          <w:sz w:val="24"/>
          <w:szCs w:val="24"/>
        </w:rPr>
        <w:t>Wiley</w:t>
      </w:r>
      <w:proofErr w:type="spellEnd"/>
      <w:r w:rsidRPr="00216D6E">
        <w:rPr>
          <w:rFonts w:ascii="Times New Roman" w:hAnsi="Times New Roman"/>
          <w:color w:val="000000"/>
          <w:sz w:val="24"/>
          <w:szCs w:val="24"/>
        </w:rPr>
        <w:t xml:space="preserve"> &amp; </w:t>
      </w:r>
      <w:proofErr w:type="spellStart"/>
      <w:r w:rsidRPr="00216D6E">
        <w:rPr>
          <w:rFonts w:ascii="Times New Roman" w:hAnsi="Times New Roman"/>
          <w:color w:val="000000"/>
          <w:sz w:val="24"/>
          <w:szCs w:val="24"/>
        </w:rPr>
        <w:t>Sons</w:t>
      </w:r>
      <w:proofErr w:type="spellEnd"/>
      <w:r w:rsidRPr="00216D6E">
        <w:rPr>
          <w:rFonts w:ascii="Times New Roman" w:hAnsi="Times New Roman"/>
          <w:color w:val="000000"/>
          <w:sz w:val="24"/>
          <w:szCs w:val="24"/>
        </w:rPr>
        <w:t>.</w:t>
      </w:r>
    </w:p>
    <w:p w14:paraId="1C7027CA" w14:textId="77777777" w:rsidR="00987AE6" w:rsidRPr="00216D6E" w:rsidRDefault="00987AE6" w:rsidP="00987AE6">
      <w:pPr>
        <w:pStyle w:val="Odsekzoznamu"/>
        <w:spacing w:line="240" w:lineRule="auto"/>
        <w:ind w:left="426" w:hanging="426"/>
        <w:jc w:val="left"/>
        <w:rPr>
          <w:rFonts w:ascii="Times New Roman" w:hAnsi="Times New Roman"/>
          <w:color w:val="000000"/>
          <w:sz w:val="24"/>
          <w:szCs w:val="24"/>
        </w:rPr>
      </w:pPr>
      <w:proofErr w:type="spellStart"/>
      <w:r w:rsidRPr="00216D6E">
        <w:rPr>
          <w:rFonts w:ascii="Times New Roman" w:hAnsi="Times New Roman"/>
          <w:color w:val="000000"/>
          <w:sz w:val="24"/>
          <w:szCs w:val="24"/>
        </w:rPr>
        <w:t>World</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Health</w:t>
      </w:r>
      <w:proofErr w:type="spellEnd"/>
      <w:r w:rsidRPr="00216D6E">
        <w:rPr>
          <w:rFonts w:ascii="Times New Roman" w:hAnsi="Times New Roman"/>
          <w:color w:val="000000"/>
          <w:sz w:val="24"/>
          <w:szCs w:val="24"/>
        </w:rPr>
        <w:t xml:space="preserve"> </w:t>
      </w:r>
      <w:proofErr w:type="spellStart"/>
      <w:r w:rsidRPr="00216D6E">
        <w:rPr>
          <w:rFonts w:ascii="Times New Roman" w:hAnsi="Times New Roman"/>
          <w:color w:val="000000"/>
          <w:sz w:val="24"/>
          <w:szCs w:val="24"/>
        </w:rPr>
        <w:t>Organization</w:t>
      </w:r>
      <w:proofErr w:type="spellEnd"/>
      <w:r w:rsidRPr="00216D6E">
        <w:rPr>
          <w:rFonts w:ascii="Times New Roman" w:hAnsi="Times New Roman"/>
          <w:color w:val="000000"/>
          <w:sz w:val="24"/>
          <w:szCs w:val="24"/>
        </w:rPr>
        <w:t xml:space="preserve">. (2018, May 24). </w:t>
      </w:r>
      <w:proofErr w:type="spellStart"/>
      <w:r w:rsidRPr="00216D6E">
        <w:rPr>
          <w:rFonts w:ascii="Times New Roman" w:hAnsi="Times New Roman"/>
          <w:color w:val="000000"/>
          <w:sz w:val="24"/>
          <w:szCs w:val="24"/>
        </w:rPr>
        <w:t>The</w:t>
      </w:r>
      <w:proofErr w:type="spellEnd"/>
      <w:r w:rsidRPr="00216D6E">
        <w:rPr>
          <w:rFonts w:ascii="Times New Roman" w:hAnsi="Times New Roman"/>
          <w:color w:val="000000"/>
          <w:sz w:val="24"/>
          <w:szCs w:val="24"/>
        </w:rPr>
        <w:t xml:space="preserve"> top 10 </w:t>
      </w:r>
      <w:proofErr w:type="spellStart"/>
      <w:r w:rsidRPr="00216D6E">
        <w:rPr>
          <w:rFonts w:ascii="Times New Roman" w:hAnsi="Times New Roman"/>
          <w:color w:val="000000"/>
          <w:sz w:val="24"/>
          <w:szCs w:val="24"/>
        </w:rPr>
        <w:t>causes</w:t>
      </w:r>
      <w:proofErr w:type="spellEnd"/>
      <w:r w:rsidRPr="00216D6E">
        <w:rPr>
          <w:rFonts w:ascii="Times New Roman" w:hAnsi="Times New Roman"/>
          <w:color w:val="000000"/>
          <w:sz w:val="24"/>
          <w:szCs w:val="24"/>
        </w:rPr>
        <w:t xml:space="preserve"> of </w:t>
      </w:r>
      <w:proofErr w:type="spellStart"/>
      <w:r w:rsidRPr="00216D6E">
        <w:rPr>
          <w:rFonts w:ascii="Times New Roman" w:hAnsi="Times New Roman"/>
          <w:color w:val="000000"/>
          <w:sz w:val="24"/>
          <w:szCs w:val="24"/>
        </w:rPr>
        <w:t>death</w:t>
      </w:r>
      <w:proofErr w:type="spellEnd"/>
      <w:r w:rsidRPr="00216D6E">
        <w:rPr>
          <w:rFonts w:ascii="Times New Roman" w:hAnsi="Times New Roman"/>
          <w:color w:val="000000"/>
          <w:sz w:val="24"/>
          <w:szCs w:val="24"/>
        </w:rPr>
        <w:t>. https://www.who.int/news-room/fact-sheets/detail/the-top-10-causes-of-death</w:t>
      </w:r>
    </w:p>
    <w:p w14:paraId="6A56EFAA" w14:textId="527B4468" w:rsidR="000379AA" w:rsidRDefault="000379AA" w:rsidP="005A51DF">
      <w:pPr>
        <w:pStyle w:val="Odsekzoznamu"/>
        <w:spacing w:after="0" w:line="240" w:lineRule="auto"/>
        <w:ind w:hanging="720"/>
        <w:jc w:val="left"/>
        <w:rPr>
          <w:rFonts w:ascii="Times New Roman" w:hAnsi="Times New Roman"/>
          <w:b/>
          <w:sz w:val="24"/>
          <w:szCs w:val="24"/>
        </w:rPr>
      </w:pPr>
    </w:p>
    <w:p w14:paraId="5DFC189B" w14:textId="77777777" w:rsidR="00987AE6" w:rsidRDefault="00987AE6"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77777777" w:rsidR="005A51DF" w:rsidRPr="0057799B" w:rsidRDefault="0057799B" w:rsidP="005A51DF">
      <w:pPr>
        <w:spacing w:line="240" w:lineRule="auto"/>
      </w:pPr>
      <w:r w:rsidRPr="0057799B">
        <w:rPr>
          <w:color w:val="000000" w:themeColor="text1"/>
          <w:lang w:val="en-US"/>
        </w:rPr>
        <w:t>University of Economics in Bratislava</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1"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D19FDEB" w14:textId="77777777" w:rsidR="005A51DF" w:rsidRDefault="0048683D" w:rsidP="005A51DF">
      <w:pPr>
        <w:spacing w:line="240" w:lineRule="auto"/>
        <w:jc w:val="left"/>
        <w:rPr>
          <w:color w:val="000000"/>
        </w:rPr>
      </w:pPr>
      <w:r>
        <w:rPr>
          <w:color w:val="000000"/>
        </w:rPr>
        <w:t>Dean</w:t>
      </w:r>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57799B" w:rsidRPr="0057799B">
        <w:rPr>
          <w:color w:val="000000" w:themeColor="text1"/>
        </w:rPr>
        <w:t>University of Economics in Bratislava</w:t>
      </w:r>
      <w:r w:rsidR="005A51DF" w:rsidRPr="00BA721E">
        <w:rPr>
          <w:color w:val="000000"/>
        </w:rPr>
        <w:br/>
      </w:r>
      <w:r w:rsidR="005A51DF" w:rsidRPr="00BA721E">
        <w:rPr>
          <w:color w:val="000000"/>
        </w:rPr>
        <w:lastRenderedPageBreak/>
        <w:t>Dolnozemská cesta 1/b</w:t>
      </w:r>
      <w:r w:rsidR="005A51DF" w:rsidRPr="00BA721E">
        <w:rPr>
          <w:color w:val="000000"/>
        </w:rPr>
        <w:br/>
        <w:t>852 35 Bratislava 5</w:t>
      </w:r>
      <w:r w:rsidR="005A51DF"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EB519" w14:textId="77777777" w:rsidR="001C6D99" w:rsidRDefault="001C6D99" w:rsidP="00236954">
      <w:pPr>
        <w:spacing w:line="240" w:lineRule="auto"/>
      </w:pPr>
      <w:r>
        <w:separator/>
      </w:r>
    </w:p>
  </w:endnote>
  <w:endnote w:type="continuationSeparator" w:id="0">
    <w:p w14:paraId="31D9157A" w14:textId="77777777" w:rsidR="001C6D99" w:rsidRDefault="001C6D99"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EE"/>
    <w:family w:val="swiss"/>
    <w:pitch w:val="variable"/>
    <w:sig w:usb0="00000007"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B76D" w14:textId="77777777" w:rsidR="001C6D99" w:rsidRDefault="001C6D99" w:rsidP="00236954">
      <w:pPr>
        <w:spacing w:line="240" w:lineRule="auto"/>
      </w:pPr>
      <w:r>
        <w:separator/>
      </w:r>
    </w:p>
  </w:footnote>
  <w:footnote w:type="continuationSeparator" w:id="0">
    <w:p w14:paraId="54AD4490" w14:textId="77777777" w:rsidR="001C6D99" w:rsidRDefault="001C6D99"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4AD2"/>
    <w:rsid w:val="000B6C16"/>
    <w:rsid w:val="000C414B"/>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6D99"/>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4012"/>
    <w:rsid w:val="0039703A"/>
    <w:rsid w:val="003A12EB"/>
    <w:rsid w:val="003A1F9E"/>
    <w:rsid w:val="003A31A2"/>
    <w:rsid w:val="003A4530"/>
    <w:rsid w:val="003A582A"/>
    <w:rsid w:val="003B1048"/>
    <w:rsid w:val="003D325A"/>
    <w:rsid w:val="003D51CA"/>
    <w:rsid w:val="003E421B"/>
    <w:rsid w:val="003E4A1D"/>
    <w:rsid w:val="003E66CC"/>
    <w:rsid w:val="00401BCE"/>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3529"/>
    <w:rsid w:val="004B0183"/>
    <w:rsid w:val="004B054D"/>
    <w:rsid w:val="004B1210"/>
    <w:rsid w:val="004C2666"/>
    <w:rsid w:val="004C3894"/>
    <w:rsid w:val="004C5C50"/>
    <w:rsid w:val="004C700C"/>
    <w:rsid w:val="004D41D7"/>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3CB1"/>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C532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87AE6"/>
    <w:rsid w:val="009965A4"/>
    <w:rsid w:val="009A20FD"/>
    <w:rsid w:val="009A4DA0"/>
    <w:rsid w:val="009A580D"/>
    <w:rsid w:val="009A6E0E"/>
    <w:rsid w:val="009B26CA"/>
    <w:rsid w:val="009B39D5"/>
    <w:rsid w:val="009C5EA3"/>
    <w:rsid w:val="009D0693"/>
    <w:rsid w:val="009D50AE"/>
    <w:rsid w:val="009E3D52"/>
    <w:rsid w:val="009E6A75"/>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economist@euba.sk"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79EC-4648-442A-A03F-A4DD9296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10779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 | FMV EU v Bratislave</cp:lastModifiedBy>
  <cp:revision>2</cp:revision>
  <cp:lastPrinted>2017-06-22T08:03:00Z</cp:lastPrinted>
  <dcterms:created xsi:type="dcterms:W3CDTF">2026-02-03T09:11:00Z</dcterms:created>
  <dcterms:modified xsi:type="dcterms:W3CDTF">2026-02-03T09:11:00Z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ies>
</file>